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29" w:rsidRDefault="009D2129" w:rsidP="00883A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6619" w:rsidRPr="00F4668F" w:rsidRDefault="00AB1B7A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A6619" w:rsidRPr="00F4668F">
        <w:rPr>
          <w:rFonts w:ascii="Times New Roman" w:hAnsi="Times New Roman"/>
          <w:b/>
          <w:bCs/>
          <w:sz w:val="23"/>
          <w:szCs w:val="23"/>
        </w:rPr>
        <w:t>«ДОРОЖНАЯ КАРТА»</w:t>
      </w:r>
    </w:p>
    <w:p w:rsidR="001A6619" w:rsidRPr="00F4668F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>внедрения системы наставничества в образовательной организации (ОО)</w:t>
      </w:r>
    </w:p>
    <w:p w:rsidR="001A6619" w:rsidRPr="00C33579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5000" w:type="pct"/>
        <w:jc w:val="center"/>
        <w:tblLayout w:type="fixed"/>
        <w:tblLook w:val="04A0"/>
      </w:tblPr>
      <w:tblGrid>
        <w:gridCol w:w="801"/>
        <w:gridCol w:w="1689"/>
        <w:gridCol w:w="1661"/>
        <w:gridCol w:w="6439"/>
        <w:gridCol w:w="4762"/>
      </w:tblGrid>
      <w:tr w:rsidR="001A6619" w:rsidRPr="00F4668F" w:rsidTr="00C944BC">
        <w:trPr>
          <w:tblHeader/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№ этапа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Наименова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ние</w:t>
            </w:r>
            <w:proofErr w:type="spellEnd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ind w:right="-31" w:hanging="154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Рекомендуемые документы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для этапа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Подготовка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условий для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запуска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программы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чества</w:t>
            </w:r>
            <w:proofErr w:type="spellEnd"/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во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страницу на сайте ОО;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сроки, показатели, способы анализа потребности в обучении (</w:t>
            </w:r>
            <w:r w:rsidRPr="00C33579">
              <w:rPr>
                <w:rFonts w:ascii="Times New Roman" w:hAnsi="Times New Roman"/>
                <w:i/>
                <w:iCs/>
                <w:sz w:val="23"/>
                <w:szCs w:val="23"/>
              </w:rPr>
              <w:t>далее - АПО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 (самостоятельно или с привлечением экспертов; очно, с использованием интернет-технологий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разработать модель сетевого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или иного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взаимодействия партнеров в осуществлении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внедрении целевой модели наставничества в ОО (утверждение Положения о наставничестве, дорожной карты внедрения системы наставничества в ОО (наименование этапа, сроки, мероприятия этапа) и ответственных);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срок действия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-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до 2024 г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.):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«Школы наставника», </w:t>
            </w:r>
            <w:r>
              <w:rPr>
                <w:rFonts w:ascii="Times New Roman" w:hAnsi="Times New Roman"/>
                <w:sz w:val="23"/>
                <w:szCs w:val="23"/>
              </w:rPr>
              <w:t>общие критерии эффективности работы наставников;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формы отчетности и др.;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Программа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длительность наставнической программы – 1 год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): ролевые модели 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цель и задачи в разрезе моделей,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календарный план мероприятий; </w:t>
            </w:r>
          </w:p>
          <w:p w:rsidR="001A6619" w:rsidRPr="00F55C6B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участников наставнической программы;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базы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астав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ляемых</w:t>
            </w:r>
            <w:proofErr w:type="spellEnd"/>
          </w:p>
          <w:p w:rsidR="001A6619" w:rsidRPr="00C33579" w:rsidRDefault="001A6619" w:rsidP="00C944BC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 родителей, педагогов, обучающихся о возможностях и целях программы;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профориентационные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тесты), в том числе - сбор запросов наставляемых;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провести уточняющий АПО наставляемых (например, анкетный опрос, интервью, наблюдения и др. для анализа потребностей в развитии наставляемых);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хакатоны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форумы, конкурсы,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бизнес-игры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сторителлинг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>нкеты для анализа потребности в развитии у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3E365B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сли наставляемые несовершеннолетние, то согласие родителей (законных </w:t>
            </w:r>
            <w:r w:rsidRPr="003E365B">
              <w:rPr>
                <w:rFonts w:ascii="Times New Roman" w:hAnsi="Times New Roman"/>
                <w:sz w:val="23"/>
                <w:szCs w:val="23"/>
              </w:rPr>
              <w:lastRenderedPageBreak/>
              <w:t>представителей) на АПО и иные процедуры (при необходимости)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тчет по результатам АПО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spacing w:after="0" w:line="240" w:lineRule="auto"/>
              <w:ind w:left="247" w:hanging="283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550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базы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 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соцпартнерами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конференции, форумы, конкурсы и др.);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 по #тегам (признакам классификации)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исьма-обращения к работодателям;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справки об отсутствии судимости, медицинские справки для партнеров;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0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Отбор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 обучение 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первого-второго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соответствии с Положением о наставничестве и утвердить реестр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АПО наставников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Hlk4452535"/>
            <w:r w:rsidRPr="00F4668F">
              <w:rPr>
                <w:rFonts w:ascii="Times New Roman" w:hAnsi="Times New Roman"/>
                <w:sz w:val="23"/>
                <w:szCs w:val="23"/>
              </w:rPr>
              <w:t>Приказ об утверждении реестра наставников и направление его в Управление образования МО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для анализа потребности в развитии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АПО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об организации «Школы наставников», утверждение программ</w:t>
            </w:r>
            <w:bookmarkEnd w:id="0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графиков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пар / групп</w:t>
            </w: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месяца после издания приказа о внедрении целевой модели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тва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ОО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встречи для формирования пар или групп (с использованием различных форматов: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психологическое сопровождение наставляемым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продолжить поиск наставника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ланы индивидуального развития наставляемых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и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осуществле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работы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пар / групп</w:t>
            </w: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 течение года после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этапа 5 (до завершения отчетного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периода)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провести обучающие, экспертно-консультационные и иные мероприятия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организовать комплекс последовательных встреч наставников и наставляемых;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текущий контроль достижения планируемых результатов наставниками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орматы анкет обратной связи для промежуточной оценки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Завершение наставничества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конце 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отчетного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периода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«обратную связь» с наставниками, наставляемыми и куратором (например, провести итоговое анкетирование,</w:t>
            </w:r>
            <w:r w:rsidRPr="00F4668F">
              <w:rPr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рефлексию);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подвести итоги мониторинга эффективности реализации программы;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итоговую встречу наставников и наставляемых (например, проектное </w:t>
            </w:r>
            <w:r>
              <w:rPr>
                <w:rFonts w:ascii="Times New Roman" w:hAnsi="Times New Roman"/>
                <w:sz w:val="23"/>
                <w:szCs w:val="23"/>
              </w:rPr>
              <w:t>интер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вью) для обсуждения результатов мониторинга эффективности;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и провести итоговое мероприятие («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Mentory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fest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») для представления результатов наставничества, чествования лучших наставников и популяризации лучших кейсов (с приглашением представителей бизнес-сообщества, образовательных организаций - партнеров, НКО, исполнительно-распорядительных органов муниципального образования, выпускников и др.);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базу успешных практик (кейсов)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долгосрочную базу наставников, в том числе - из успешно завершивших программу наставляемых, желающих попробовать себя в новой роли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популяризировать лучшие практики и примеры наставничества через медиа, участников, партнеров.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удовлетворенности наставников и наставляемых организацией программы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наставнической программы (включая отчеты наставников и куратора)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поощрении участников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A6619" w:rsidRDefault="001A6619" w:rsidP="001A661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A6619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3A" w:rsidRDefault="006C693A" w:rsidP="004F5A6E">
      <w:pPr>
        <w:spacing w:after="0" w:line="240" w:lineRule="auto"/>
      </w:pPr>
      <w:r>
        <w:separator/>
      </w:r>
    </w:p>
  </w:endnote>
  <w:endnote w:type="continuationSeparator" w:id="0">
    <w:p w:rsidR="006C693A" w:rsidRDefault="006C693A" w:rsidP="004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3A" w:rsidRDefault="006C693A" w:rsidP="004F5A6E">
      <w:pPr>
        <w:spacing w:after="0" w:line="240" w:lineRule="auto"/>
      </w:pPr>
      <w:r>
        <w:separator/>
      </w:r>
    </w:p>
  </w:footnote>
  <w:footnote w:type="continuationSeparator" w:id="0">
    <w:p w:rsidR="006C693A" w:rsidRDefault="006C693A" w:rsidP="004F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A3A"/>
    <w:multiLevelType w:val="hybridMultilevel"/>
    <w:tmpl w:val="56CC4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14F2"/>
    <w:multiLevelType w:val="hybridMultilevel"/>
    <w:tmpl w:val="47B44C88"/>
    <w:lvl w:ilvl="0" w:tplc="8C74C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17CA9"/>
    <w:multiLevelType w:val="multilevel"/>
    <w:tmpl w:val="51963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4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D91CDE"/>
    <w:multiLevelType w:val="hybridMultilevel"/>
    <w:tmpl w:val="323C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6E98"/>
    <w:multiLevelType w:val="hybridMultilevel"/>
    <w:tmpl w:val="339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4354F"/>
    <w:multiLevelType w:val="hybridMultilevel"/>
    <w:tmpl w:val="9C36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30CD7"/>
    <w:multiLevelType w:val="multilevel"/>
    <w:tmpl w:val="7452D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4118D"/>
    <w:multiLevelType w:val="hybridMultilevel"/>
    <w:tmpl w:val="20FA6AB4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>
    <w:nsid w:val="6D6467F1"/>
    <w:multiLevelType w:val="hybridMultilevel"/>
    <w:tmpl w:val="74DA6D68"/>
    <w:lvl w:ilvl="0" w:tplc="F8B6EF6A">
      <w:start w:val="1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F6CD7"/>
    <w:multiLevelType w:val="multilevel"/>
    <w:tmpl w:val="4D7E45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B6771EE"/>
    <w:multiLevelType w:val="hybridMultilevel"/>
    <w:tmpl w:val="213EC2E0"/>
    <w:lvl w:ilvl="0" w:tplc="E35CD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370"/>
    <w:rsid w:val="00011730"/>
    <w:rsid w:val="00016487"/>
    <w:rsid w:val="00023F73"/>
    <w:rsid w:val="00026A3F"/>
    <w:rsid w:val="00051511"/>
    <w:rsid w:val="00061140"/>
    <w:rsid w:val="000848FE"/>
    <w:rsid w:val="000A7C33"/>
    <w:rsid w:val="000B433A"/>
    <w:rsid w:val="000D0174"/>
    <w:rsid w:val="00122280"/>
    <w:rsid w:val="001A6619"/>
    <w:rsid w:val="001C6A0A"/>
    <w:rsid w:val="001C6B9F"/>
    <w:rsid w:val="001D32FA"/>
    <w:rsid w:val="001D4F30"/>
    <w:rsid w:val="001D5C07"/>
    <w:rsid w:val="001D600F"/>
    <w:rsid w:val="001E3AA3"/>
    <w:rsid w:val="00213104"/>
    <w:rsid w:val="00231E10"/>
    <w:rsid w:val="00285DDB"/>
    <w:rsid w:val="00297F3B"/>
    <w:rsid w:val="002A2F84"/>
    <w:rsid w:val="002A5259"/>
    <w:rsid w:val="002B7FF9"/>
    <w:rsid w:val="002D3BA5"/>
    <w:rsid w:val="002F3447"/>
    <w:rsid w:val="00314B83"/>
    <w:rsid w:val="00341370"/>
    <w:rsid w:val="0036521C"/>
    <w:rsid w:val="00377679"/>
    <w:rsid w:val="0038408D"/>
    <w:rsid w:val="00394DCB"/>
    <w:rsid w:val="003C2721"/>
    <w:rsid w:val="003C3B0E"/>
    <w:rsid w:val="004041DF"/>
    <w:rsid w:val="00430957"/>
    <w:rsid w:val="00483A58"/>
    <w:rsid w:val="00487314"/>
    <w:rsid w:val="004906C5"/>
    <w:rsid w:val="004A7DC1"/>
    <w:rsid w:val="004F5A6E"/>
    <w:rsid w:val="00533773"/>
    <w:rsid w:val="005569CB"/>
    <w:rsid w:val="00583BD3"/>
    <w:rsid w:val="005B67D5"/>
    <w:rsid w:val="005E632E"/>
    <w:rsid w:val="005F788B"/>
    <w:rsid w:val="00600DD2"/>
    <w:rsid w:val="006121F0"/>
    <w:rsid w:val="00625526"/>
    <w:rsid w:val="00654F75"/>
    <w:rsid w:val="006A780A"/>
    <w:rsid w:val="006C693A"/>
    <w:rsid w:val="006F234C"/>
    <w:rsid w:val="00726B31"/>
    <w:rsid w:val="007331EA"/>
    <w:rsid w:val="007D35E4"/>
    <w:rsid w:val="007E2DDA"/>
    <w:rsid w:val="007E312A"/>
    <w:rsid w:val="00800B23"/>
    <w:rsid w:val="008371A4"/>
    <w:rsid w:val="00851F9B"/>
    <w:rsid w:val="00883A74"/>
    <w:rsid w:val="008A0223"/>
    <w:rsid w:val="008F2197"/>
    <w:rsid w:val="00914608"/>
    <w:rsid w:val="009237E3"/>
    <w:rsid w:val="00934C7C"/>
    <w:rsid w:val="00937C27"/>
    <w:rsid w:val="00944726"/>
    <w:rsid w:val="009544DD"/>
    <w:rsid w:val="00954D18"/>
    <w:rsid w:val="00961AC7"/>
    <w:rsid w:val="0099358C"/>
    <w:rsid w:val="009A68F7"/>
    <w:rsid w:val="009C0170"/>
    <w:rsid w:val="009D2129"/>
    <w:rsid w:val="00A20981"/>
    <w:rsid w:val="00A37D76"/>
    <w:rsid w:val="00A4258A"/>
    <w:rsid w:val="00A870BE"/>
    <w:rsid w:val="00AB1B7A"/>
    <w:rsid w:val="00AB62FD"/>
    <w:rsid w:val="00AD04C3"/>
    <w:rsid w:val="00AD2544"/>
    <w:rsid w:val="00AD2F96"/>
    <w:rsid w:val="00B34125"/>
    <w:rsid w:val="00B47B28"/>
    <w:rsid w:val="00B5355F"/>
    <w:rsid w:val="00B54CF2"/>
    <w:rsid w:val="00B956FD"/>
    <w:rsid w:val="00BA49D4"/>
    <w:rsid w:val="00BB7A2D"/>
    <w:rsid w:val="00BC1D91"/>
    <w:rsid w:val="00BF01FD"/>
    <w:rsid w:val="00C51787"/>
    <w:rsid w:val="00C92298"/>
    <w:rsid w:val="00C94A50"/>
    <w:rsid w:val="00C96F37"/>
    <w:rsid w:val="00CA4415"/>
    <w:rsid w:val="00CA55C6"/>
    <w:rsid w:val="00CD4F45"/>
    <w:rsid w:val="00D1303F"/>
    <w:rsid w:val="00D224B5"/>
    <w:rsid w:val="00D50D69"/>
    <w:rsid w:val="00D96B83"/>
    <w:rsid w:val="00D97E11"/>
    <w:rsid w:val="00DB0262"/>
    <w:rsid w:val="00DC30DD"/>
    <w:rsid w:val="00DD7EC0"/>
    <w:rsid w:val="00E47B95"/>
    <w:rsid w:val="00E84B02"/>
    <w:rsid w:val="00ED6B6C"/>
    <w:rsid w:val="00EE2A84"/>
    <w:rsid w:val="00EF2E0C"/>
    <w:rsid w:val="00EF785A"/>
    <w:rsid w:val="00F04C99"/>
    <w:rsid w:val="00F55C6B"/>
    <w:rsid w:val="00F6340A"/>
    <w:rsid w:val="00F84C13"/>
    <w:rsid w:val="00FB48AD"/>
    <w:rsid w:val="00FB6DCA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1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FA6B-174B-4488-B4CC-429D7D42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Admin</cp:lastModifiedBy>
  <cp:revision>2</cp:revision>
  <cp:lastPrinted>2020-05-26T08:40:00Z</cp:lastPrinted>
  <dcterms:created xsi:type="dcterms:W3CDTF">2021-06-10T04:49:00Z</dcterms:created>
  <dcterms:modified xsi:type="dcterms:W3CDTF">2021-06-10T04:49:00Z</dcterms:modified>
</cp:coreProperties>
</file>